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3EA4" w14:textId="1C7B972B" w:rsidR="009A7B7E" w:rsidRPr="00BD1714" w:rsidRDefault="009A7B7E" w:rsidP="00BD1714">
      <w:pPr>
        <w:jc w:val="center"/>
        <w:rPr>
          <w:color w:val="1F4E79" w:themeColor="accent5" w:themeShade="80"/>
          <w:sz w:val="32"/>
          <w:szCs w:val="32"/>
        </w:rPr>
      </w:pPr>
      <w:r w:rsidRPr="00BD1714">
        <w:rPr>
          <w:b/>
          <w:bCs/>
          <w:color w:val="1F4E79" w:themeColor="accent5" w:themeShade="80"/>
          <w:sz w:val="32"/>
          <w:szCs w:val="32"/>
        </w:rPr>
        <w:t xml:space="preserve">PŘÍPRAVA PŘED KOLONOSKOPIÍ POKYNY PRO </w:t>
      </w:r>
      <w:proofErr w:type="gramStart"/>
      <w:r w:rsidRPr="00BD1714">
        <w:rPr>
          <w:b/>
          <w:bCs/>
          <w:color w:val="1F4E79" w:themeColor="accent5" w:themeShade="80"/>
          <w:sz w:val="32"/>
          <w:szCs w:val="32"/>
        </w:rPr>
        <w:t>PACIENTY -</w:t>
      </w:r>
      <w:r w:rsidRPr="00BD1714">
        <w:rPr>
          <w:color w:val="1F4E79" w:themeColor="accent5" w:themeShade="80"/>
          <w:sz w:val="32"/>
          <w:szCs w:val="32"/>
        </w:rPr>
        <w:t xml:space="preserve"> </w:t>
      </w:r>
      <w:r w:rsidRPr="00BD1714">
        <w:rPr>
          <w:b/>
          <w:bCs/>
          <w:color w:val="1F4E79" w:themeColor="accent5" w:themeShade="80"/>
          <w:sz w:val="32"/>
          <w:szCs w:val="32"/>
        </w:rPr>
        <w:t>PICOPREP</w:t>
      </w:r>
      <w:proofErr w:type="gramEnd"/>
    </w:p>
    <w:p w14:paraId="1DFB8A21" w14:textId="1753F9EF" w:rsidR="009A7B7E" w:rsidRPr="00BD1714" w:rsidRDefault="009A7B7E" w:rsidP="00BD1714">
      <w:pPr>
        <w:jc w:val="center"/>
        <w:rPr>
          <w:b/>
          <w:bCs/>
        </w:rPr>
      </w:pPr>
      <w:r>
        <w:br/>
      </w:r>
      <w:r w:rsidRPr="00BD1714">
        <w:rPr>
          <w:b/>
          <w:bCs/>
          <w:color w:val="1F4E79" w:themeColor="accent5" w:themeShade="80"/>
        </w:rPr>
        <w:t>7 dní před plánovaným vyšetřením přestanete užívat:</w:t>
      </w:r>
    </w:p>
    <w:p w14:paraId="482FA652" w14:textId="77777777" w:rsidR="009A7B7E" w:rsidRDefault="009A7B7E" w:rsidP="00BD1714">
      <w:pPr>
        <w:jc w:val="both"/>
      </w:pPr>
      <w:r>
        <w:t>- léky obsahující železo (</w:t>
      </w:r>
      <w:proofErr w:type="spellStart"/>
      <w:r>
        <w:t>Ferronat</w:t>
      </w:r>
      <w:proofErr w:type="spellEnd"/>
      <w:r>
        <w:t xml:space="preserve">, </w:t>
      </w:r>
      <w:proofErr w:type="spellStart"/>
      <w:r>
        <w:t>Sorbifer</w:t>
      </w:r>
      <w:proofErr w:type="spellEnd"/>
      <w:r>
        <w:t xml:space="preserve">, </w:t>
      </w:r>
      <w:proofErr w:type="spellStart"/>
      <w:r>
        <w:t>Aktiferin</w:t>
      </w:r>
      <w:proofErr w:type="spellEnd"/>
      <w:r>
        <w:t xml:space="preserve">) </w:t>
      </w:r>
    </w:p>
    <w:p w14:paraId="297013F1" w14:textId="4CC0FC3C" w:rsidR="009A7B7E" w:rsidRDefault="009A7B7E" w:rsidP="00BD1714">
      <w:pPr>
        <w:jc w:val="both"/>
      </w:pPr>
      <w:r>
        <w:t>- léky na ředění krve (</w:t>
      </w:r>
      <w:proofErr w:type="spellStart"/>
      <w:r>
        <w:t>Plavix</w:t>
      </w:r>
      <w:proofErr w:type="spellEnd"/>
      <w:r>
        <w:t xml:space="preserve">, </w:t>
      </w:r>
      <w:proofErr w:type="spellStart"/>
      <w:r>
        <w:t>Trombex</w:t>
      </w:r>
      <w:proofErr w:type="spellEnd"/>
      <w:r>
        <w:t>, Anopyrin, Acylpyrin a další…)</w:t>
      </w:r>
      <w:r>
        <w:t xml:space="preserve"> – po </w:t>
      </w:r>
    </w:p>
    <w:p w14:paraId="5E6615A4" w14:textId="4EFF64A0" w:rsidR="009A7B7E" w:rsidRDefault="009A7B7E" w:rsidP="00BD1714">
      <w:pPr>
        <w:jc w:val="both"/>
      </w:pPr>
      <w:r>
        <w:t xml:space="preserve">  konzultaci </w:t>
      </w:r>
      <w:proofErr w:type="gramStart"/>
      <w:r>
        <w:t>s</w:t>
      </w:r>
      <w:proofErr w:type="gramEnd"/>
      <w:r w:rsidR="004B2001">
        <w:t> </w:t>
      </w:r>
      <w:r>
        <w:t>lékaře</w:t>
      </w:r>
      <w:r w:rsidR="004B2001">
        <w:t xml:space="preserve">, při užívání </w:t>
      </w:r>
      <w:proofErr w:type="spellStart"/>
      <w:r w:rsidR="004B2001">
        <w:t>Warfarinu</w:t>
      </w:r>
      <w:proofErr w:type="spellEnd"/>
      <w:r w:rsidR="004B2001">
        <w:t>:</w:t>
      </w:r>
    </w:p>
    <w:p w14:paraId="7774CCEA" w14:textId="1D33617D" w:rsidR="004B2001" w:rsidRDefault="009A7B7E" w:rsidP="00BD1714">
      <w:pPr>
        <w:pStyle w:val="Odstavecseseznamem"/>
        <w:numPr>
          <w:ilvl w:val="0"/>
          <w:numId w:val="2"/>
        </w:numPr>
        <w:jc w:val="both"/>
      </w:pPr>
      <w:r>
        <w:t>budete si před vyšetřením nějaký čas aplikovat injekce</w:t>
      </w:r>
      <w:r w:rsidR="004B2001">
        <w:t>, j</w:t>
      </w:r>
      <w:r>
        <w:t xml:space="preserve">e nutné před vyšetřením zkontrolovat srážlivost krve (INR, </w:t>
      </w:r>
      <w:proofErr w:type="spellStart"/>
      <w:r>
        <w:t>Quick</w:t>
      </w:r>
      <w:proofErr w:type="spellEnd"/>
      <w:r>
        <w:t>, nutná hodnota pod 1,5)</w:t>
      </w:r>
    </w:p>
    <w:p w14:paraId="5B2CB1C6" w14:textId="77777777" w:rsidR="004B2001" w:rsidRDefault="004B2001" w:rsidP="00BD1714">
      <w:pPr>
        <w:pStyle w:val="Odstavecseseznamem"/>
        <w:numPr>
          <w:ilvl w:val="0"/>
          <w:numId w:val="2"/>
        </w:numPr>
        <w:jc w:val="both"/>
      </w:pPr>
      <w:r>
        <w:t>r</w:t>
      </w:r>
      <w:r w:rsidR="009A7B7E">
        <w:t xml:space="preserve">anní injekci si neaplikujte! </w:t>
      </w:r>
    </w:p>
    <w:p w14:paraId="6E3E144E" w14:textId="77777777" w:rsidR="004B2001" w:rsidRDefault="004B2001" w:rsidP="00BD1714">
      <w:pPr>
        <w:ind w:left="105"/>
        <w:jc w:val="both"/>
      </w:pPr>
    </w:p>
    <w:p w14:paraId="2E9115C8" w14:textId="5185DBF4" w:rsidR="004B2001" w:rsidRPr="00BD1714" w:rsidRDefault="009A7B7E" w:rsidP="00BD1714">
      <w:pPr>
        <w:ind w:left="105"/>
        <w:jc w:val="center"/>
        <w:rPr>
          <w:b/>
          <w:bCs/>
          <w:color w:val="1F4E79" w:themeColor="accent5" w:themeShade="80"/>
        </w:rPr>
      </w:pPr>
      <w:r w:rsidRPr="00BD1714">
        <w:rPr>
          <w:b/>
          <w:bCs/>
          <w:color w:val="1F4E79" w:themeColor="accent5" w:themeShade="80"/>
        </w:rPr>
        <w:t>3 dny před plánovaným vyšetřením přestanete jíst následující potraviny:</w:t>
      </w:r>
    </w:p>
    <w:p w14:paraId="35EDE309" w14:textId="77777777" w:rsidR="004B2001" w:rsidRDefault="009A7B7E" w:rsidP="00BD1714">
      <w:pPr>
        <w:ind w:left="105"/>
        <w:jc w:val="both"/>
      </w:pPr>
      <w:r>
        <w:t xml:space="preserve">- tuhé, vláknité maso, </w:t>
      </w:r>
      <w:proofErr w:type="gramStart"/>
      <w:r>
        <w:t>klobásy - tukové</w:t>
      </w:r>
      <w:proofErr w:type="gramEnd"/>
      <w:r>
        <w:t xml:space="preserve"> koláče a cukroví, koláče s obsahem sušeného ovoce </w:t>
      </w:r>
    </w:p>
    <w:p w14:paraId="2B646AE6" w14:textId="5F0D32A5" w:rsidR="004B2001" w:rsidRDefault="009A7B7E" w:rsidP="00BD1714">
      <w:pPr>
        <w:ind w:left="105"/>
        <w:jc w:val="both"/>
      </w:pPr>
      <w:r>
        <w:t>- jogurty s kousky ovoce a müsli jogurty</w:t>
      </w:r>
    </w:p>
    <w:p w14:paraId="0EFAC2E1" w14:textId="185CD5B0" w:rsidR="004B2001" w:rsidRDefault="004B2001" w:rsidP="00BD1714">
      <w:pPr>
        <w:ind w:left="105"/>
        <w:jc w:val="both"/>
      </w:pPr>
      <w:r>
        <w:t>-</w:t>
      </w:r>
      <w:r w:rsidR="009A7B7E">
        <w:t xml:space="preserve"> brambory se </w:t>
      </w:r>
      <w:proofErr w:type="spellStart"/>
      <w:r w:rsidR="009A7B7E">
        <w:t>šlupkou</w:t>
      </w:r>
      <w:proofErr w:type="spellEnd"/>
      <w:r w:rsidR="009A7B7E">
        <w:t xml:space="preserve"> </w:t>
      </w:r>
    </w:p>
    <w:p w14:paraId="031827D3" w14:textId="77777777" w:rsidR="004B2001" w:rsidRDefault="009A7B7E" w:rsidP="00BD1714">
      <w:pPr>
        <w:ind w:left="105"/>
        <w:jc w:val="both"/>
      </w:pPr>
      <w:r>
        <w:t xml:space="preserve">- fazole </w:t>
      </w:r>
    </w:p>
    <w:p w14:paraId="6C2FD49B" w14:textId="77777777" w:rsidR="004B2001" w:rsidRDefault="009A7B7E" w:rsidP="00BD1714">
      <w:pPr>
        <w:ind w:left="105"/>
        <w:jc w:val="both"/>
      </w:pPr>
      <w:r>
        <w:t xml:space="preserve">- husté zapražené polévky </w:t>
      </w:r>
    </w:p>
    <w:p w14:paraId="42B53368" w14:textId="77777777" w:rsidR="004B2001" w:rsidRDefault="009A7B7E" w:rsidP="00BD1714">
      <w:pPr>
        <w:ind w:left="105"/>
        <w:jc w:val="both"/>
      </w:pPr>
      <w:r>
        <w:t xml:space="preserve">- ovoce se </w:t>
      </w:r>
      <w:proofErr w:type="spellStart"/>
      <w:r>
        <w:t>šlupkou</w:t>
      </w:r>
      <w:proofErr w:type="spellEnd"/>
      <w:r>
        <w:t xml:space="preserve"> nebo s vyšším obsahem vlákniny (kiwi, jahody, meloun s jadérky) </w:t>
      </w:r>
    </w:p>
    <w:p w14:paraId="7A2E473A" w14:textId="77777777" w:rsidR="004B2001" w:rsidRDefault="009A7B7E" w:rsidP="00BD1714">
      <w:pPr>
        <w:ind w:left="105"/>
        <w:jc w:val="both"/>
      </w:pPr>
      <w:r>
        <w:t>- tmavý celozrnný chléb</w:t>
      </w:r>
      <w:r w:rsidR="004B2001">
        <w:t xml:space="preserve">, </w:t>
      </w:r>
      <w:r>
        <w:t>celozrnnou mouku</w:t>
      </w:r>
      <w:r w:rsidR="004B2001">
        <w:t>,</w:t>
      </w:r>
      <w:r>
        <w:t xml:space="preserve"> hnědou rýži a celozrnné těstoviny</w:t>
      </w:r>
    </w:p>
    <w:p w14:paraId="76D62C98" w14:textId="77777777" w:rsidR="004B2001" w:rsidRDefault="004B2001" w:rsidP="00BD1714">
      <w:pPr>
        <w:ind w:left="105"/>
        <w:jc w:val="both"/>
      </w:pPr>
      <w:r>
        <w:t xml:space="preserve">- </w:t>
      </w:r>
      <w:r w:rsidR="009A7B7E">
        <w:t>veškeré ořechy a sušené ovoce</w:t>
      </w:r>
      <w:r>
        <w:t>,</w:t>
      </w:r>
      <w:r w:rsidR="009A7B7E">
        <w:t xml:space="preserve"> džem se slupkami a jadérky </w:t>
      </w:r>
    </w:p>
    <w:p w14:paraId="068760C7" w14:textId="77777777" w:rsidR="004B2001" w:rsidRDefault="009A7B7E" w:rsidP="00BD1714">
      <w:pPr>
        <w:ind w:left="105"/>
        <w:jc w:val="both"/>
      </w:pPr>
      <w:r>
        <w:t xml:space="preserve">- cereálie s vysokým obsahem vlákniny, ovesnou kaši, otruby </w:t>
      </w:r>
    </w:p>
    <w:p w14:paraId="7E3F88CF" w14:textId="1CB73A64" w:rsidR="004B2001" w:rsidRDefault="009A7B7E" w:rsidP="00BD1714">
      <w:pPr>
        <w:ind w:left="105"/>
        <w:jc w:val="both"/>
      </w:pPr>
      <w:r>
        <w:t xml:space="preserve">Nadále můžete přijímat měkké libové maso, jogurty, brambory, do měkka uvařenou zeleninu, měkké ovoce, vývary, piškotové pečivo, čajové koláčky, želírovanou marmeládu, čaj a kávu, cukr, šťávy, ovocné a perlivé nápoje, pivo, vodu. </w:t>
      </w:r>
    </w:p>
    <w:p w14:paraId="3C47DB5B" w14:textId="77777777" w:rsidR="00BD1714" w:rsidRDefault="00BD1714" w:rsidP="00BD1714">
      <w:pPr>
        <w:ind w:left="105"/>
        <w:jc w:val="both"/>
      </w:pPr>
    </w:p>
    <w:p w14:paraId="017841B9" w14:textId="2BB70169" w:rsidR="004B2001" w:rsidRPr="00BD1714" w:rsidRDefault="009A7B7E" w:rsidP="00BD1714">
      <w:pPr>
        <w:ind w:left="105"/>
        <w:jc w:val="center"/>
        <w:rPr>
          <w:b/>
          <w:bCs/>
          <w:color w:val="1F4E79" w:themeColor="accent5" w:themeShade="80"/>
          <w:u w:val="single"/>
        </w:rPr>
      </w:pPr>
      <w:r w:rsidRPr="00BD1714">
        <w:rPr>
          <w:b/>
          <w:bCs/>
          <w:color w:val="1F4E79" w:themeColor="accent5" w:themeShade="80"/>
          <w:u w:val="single"/>
        </w:rPr>
        <w:t>1 den před plánovaným vyšetřením začnete s ještě přísnější dietou</w:t>
      </w:r>
    </w:p>
    <w:p w14:paraId="69265AA6" w14:textId="77777777" w:rsidR="004B2001" w:rsidRDefault="009A7B7E" w:rsidP="00BD1714">
      <w:pPr>
        <w:ind w:left="105"/>
        <w:jc w:val="both"/>
      </w:pPr>
      <w:r>
        <w:t xml:space="preserve">Můžete sníst ke snídani jogurt a tekutiny bez pečiva, k obědu řídký masový nebo zeleninový vývar a dále můžete přijímat už jen všechny tekutiny s výjimkou hustých džusů. </w:t>
      </w:r>
    </w:p>
    <w:p w14:paraId="58096490" w14:textId="77777777" w:rsidR="004B2001" w:rsidRDefault="009A7B7E" w:rsidP="00BD1714">
      <w:pPr>
        <w:ind w:left="105"/>
        <w:jc w:val="both"/>
      </w:pPr>
      <w:r w:rsidRPr="00BD1714">
        <w:rPr>
          <w:b/>
          <w:bCs/>
          <w:color w:val="1F4E79" w:themeColor="accent5" w:themeShade="80"/>
        </w:rPr>
        <w:t>V 15 hodin</w:t>
      </w:r>
      <w:r w:rsidRPr="00BD1714">
        <w:rPr>
          <w:color w:val="1F4E79" w:themeColor="accent5" w:themeShade="80"/>
        </w:rPr>
        <w:t xml:space="preserve"> </w:t>
      </w:r>
      <w:r>
        <w:t xml:space="preserve">si připravíte první dávku přípravku </w:t>
      </w:r>
      <w:proofErr w:type="spellStart"/>
      <w:r>
        <w:t>Picoprep</w:t>
      </w:r>
      <w:proofErr w:type="spellEnd"/>
      <w:r w:rsidR="004B2001">
        <w:t>:</w:t>
      </w:r>
    </w:p>
    <w:p w14:paraId="29C4F31B" w14:textId="77777777" w:rsidR="004B2001" w:rsidRDefault="004B2001" w:rsidP="00BD1714">
      <w:pPr>
        <w:pStyle w:val="Odstavecseseznamem"/>
        <w:numPr>
          <w:ilvl w:val="0"/>
          <w:numId w:val="2"/>
        </w:numPr>
        <w:jc w:val="both"/>
      </w:pPr>
      <w:r w:rsidRPr="004B2001">
        <w:t>s</w:t>
      </w:r>
      <w:r w:rsidR="009A7B7E">
        <w:t>áček rozmícháte ve 150 ml studené vody (jeden hrnek), 2-3 minuty míchejte a pak připravený roztok vypijte</w:t>
      </w:r>
    </w:p>
    <w:p w14:paraId="42341D50" w14:textId="77777777" w:rsidR="004B2001" w:rsidRDefault="004B2001" w:rsidP="00BD1714">
      <w:pPr>
        <w:pStyle w:val="Odstavecseseznamem"/>
        <w:numPr>
          <w:ilvl w:val="0"/>
          <w:numId w:val="2"/>
        </w:numPr>
        <w:jc w:val="both"/>
      </w:pPr>
      <w:r>
        <w:t>v</w:t>
      </w:r>
      <w:r w:rsidR="009A7B7E">
        <w:t xml:space="preserve"> následujících 6 hodinách musíte vypít alespoň 1,5 litru tekutin (voda, jablkový džus, kola, pivo atd.)</w:t>
      </w:r>
    </w:p>
    <w:p w14:paraId="6B9E7055" w14:textId="77777777" w:rsidR="004B2001" w:rsidRDefault="004B2001" w:rsidP="00BD1714">
      <w:pPr>
        <w:pStyle w:val="Odstavecseseznamem"/>
        <w:numPr>
          <w:ilvl w:val="0"/>
          <w:numId w:val="2"/>
        </w:numPr>
        <w:jc w:val="both"/>
      </w:pPr>
      <w:r>
        <w:t>ú</w:t>
      </w:r>
      <w:r w:rsidR="009A7B7E">
        <w:t>činek nastupuje za 1-3 hodiny po vypití</w:t>
      </w:r>
    </w:p>
    <w:p w14:paraId="03F0982E" w14:textId="07EA1C57" w:rsidR="004B2001" w:rsidRDefault="004B2001" w:rsidP="00BD1714">
      <w:pPr>
        <w:ind w:left="105"/>
        <w:jc w:val="both"/>
      </w:pPr>
      <w:r w:rsidRPr="00BD1714">
        <w:rPr>
          <w:b/>
          <w:bCs/>
          <w:color w:val="1F4E79" w:themeColor="accent5" w:themeShade="80"/>
        </w:rPr>
        <w:t>V</w:t>
      </w:r>
      <w:r w:rsidR="009A7B7E" w:rsidRPr="00BD1714">
        <w:rPr>
          <w:b/>
          <w:bCs/>
          <w:color w:val="1F4E79" w:themeColor="accent5" w:themeShade="80"/>
        </w:rPr>
        <w:t>e 21 hodin</w:t>
      </w:r>
      <w:r w:rsidR="009A7B7E" w:rsidRPr="00BD1714">
        <w:rPr>
          <w:color w:val="1F4E79" w:themeColor="accent5" w:themeShade="80"/>
        </w:rPr>
        <w:t xml:space="preserve"> </w:t>
      </w:r>
      <w:r w:rsidR="009A7B7E">
        <w:t xml:space="preserve">si připravíte stejným způsobem druhou dávku přípravku </w:t>
      </w:r>
      <w:proofErr w:type="spellStart"/>
      <w:r w:rsidR="009A7B7E">
        <w:t>Picoprep</w:t>
      </w:r>
      <w:proofErr w:type="spellEnd"/>
      <w:r w:rsidR="009A7B7E">
        <w:t xml:space="preserve"> a vypijete</w:t>
      </w:r>
      <w:r>
        <w:t>:</w:t>
      </w:r>
    </w:p>
    <w:p w14:paraId="35BD2A45" w14:textId="77777777" w:rsidR="004B2001" w:rsidRDefault="004B2001" w:rsidP="00BD1714">
      <w:pPr>
        <w:pStyle w:val="Odstavecseseznamem"/>
        <w:numPr>
          <w:ilvl w:val="0"/>
          <w:numId w:val="2"/>
        </w:numPr>
        <w:jc w:val="both"/>
      </w:pPr>
      <w:r>
        <w:t>d</w:t>
      </w:r>
      <w:r w:rsidR="009A7B7E">
        <w:t xml:space="preserve">o půlnoci je nutno vypít nejméně další 1,5 litru tekutin! </w:t>
      </w:r>
    </w:p>
    <w:p w14:paraId="7AAAD51F" w14:textId="77777777" w:rsidR="004B2001" w:rsidRPr="00BD1714" w:rsidRDefault="009A7B7E" w:rsidP="00BD1714">
      <w:pPr>
        <w:ind w:left="105"/>
        <w:jc w:val="both"/>
        <w:rPr>
          <w:color w:val="1F4E79" w:themeColor="accent5" w:themeShade="80"/>
        </w:rPr>
      </w:pPr>
      <w:r w:rsidRPr="00BD1714">
        <w:rPr>
          <w:b/>
          <w:bCs/>
          <w:color w:val="1F4E79" w:themeColor="accent5" w:themeShade="80"/>
        </w:rPr>
        <w:t xml:space="preserve">V den vyšetření se </w:t>
      </w:r>
      <w:proofErr w:type="gramStart"/>
      <w:r w:rsidRPr="00BD1714">
        <w:rPr>
          <w:b/>
          <w:bCs/>
          <w:color w:val="1F4E79" w:themeColor="accent5" w:themeShade="80"/>
        </w:rPr>
        <w:t xml:space="preserve">dostavíte </w:t>
      </w:r>
      <w:r w:rsidRPr="00BD1714">
        <w:rPr>
          <w:color w:val="1F4E79" w:themeColor="accent5" w:themeShade="80"/>
        </w:rPr>
        <w:t>:</w:t>
      </w:r>
      <w:proofErr w:type="gramEnd"/>
      <w:r w:rsidRPr="00BD1714">
        <w:rPr>
          <w:color w:val="1F4E79" w:themeColor="accent5" w:themeShade="80"/>
        </w:rPr>
        <w:t xml:space="preserve"> </w:t>
      </w:r>
    </w:p>
    <w:p w14:paraId="6AF76313" w14:textId="77777777" w:rsidR="004B2001" w:rsidRDefault="009A7B7E" w:rsidP="00BD1714">
      <w:pPr>
        <w:ind w:left="105"/>
        <w:jc w:val="both"/>
      </w:pPr>
      <w:r>
        <w:sym w:font="Symbol" w:char="F0B7"/>
      </w:r>
      <w:r>
        <w:t xml:space="preserve"> NA LAČNO (od půlnoci nejíst, nepít, nekouřit) </w:t>
      </w:r>
    </w:p>
    <w:p w14:paraId="4406B40A" w14:textId="62A3888B" w:rsidR="004B2001" w:rsidRDefault="009A7B7E" w:rsidP="00BD1714">
      <w:pPr>
        <w:ind w:left="105"/>
        <w:jc w:val="both"/>
      </w:pPr>
      <w:r>
        <w:sym w:font="Symbol" w:char="F0B7"/>
      </w:r>
      <w:r>
        <w:t xml:space="preserve"> pokud užíváte léky na krevní tlak, nebo na srdce, možno zapít vod</w:t>
      </w:r>
      <w:r w:rsidR="004B2001">
        <w:t>ou</w:t>
      </w:r>
    </w:p>
    <w:p w14:paraId="303A7B42" w14:textId="77777777" w:rsidR="004B2001" w:rsidRDefault="009A7B7E" w:rsidP="00BD1714">
      <w:pPr>
        <w:ind w:left="105"/>
        <w:jc w:val="both"/>
      </w:pPr>
      <w:r>
        <w:sym w:font="Symbol" w:char="F0B7"/>
      </w:r>
      <w:r>
        <w:t xml:space="preserve"> s sebou si vezměte </w:t>
      </w:r>
      <w:r w:rsidR="004B2001">
        <w:t>ŽÁDANKU</w:t>
      </w:r>
    </w:p>
    <w:p w14:paraId="6B1D60EE" w14:textId="77777777" w:rsidR="004B2001" w:rsidRDefault="009A7B7E" w:rsidP="00BD1714">
      <w:pPr>
        <w:ind w:left="105"/>
        <w:jc w:val="both"/>
      </w:pPr>
      <w:r>
        <w:sym w:font="Symbol" w:char="F0B7"/>
      </w:r>
      <w:r>
        <w:t xml:space="preserve"> po vyšetření</w:t>
      </w:r>
      <w:r w:rsidR="004B2001">
        <w:t xml:space="preserve"> většinou ihned</w:t>
      </w:r>
      <w:r>
        <w:t xml:space="preserve"> nelze řídit motorové vozidlo, při propouštění je </w:t>
      </w:r>
      <w:r w:rsidR="004B2001">
        <w:t>vhodné</w:t>
      </w:r>
      <w:r>
        <w:t xml:space="preserve"> mít </w:t>
      </w:r>
      <w:r w:rsidR="004B2001">
        <w:t xml:space="preserve"> </w:t>
      </w:r>
    </w:p>
    <w:p w14:paraId="36B6C8D4" w14:textId="278F75C9" w:rsidR="004B2001" w:rsidRDefault="004B2001" w:rsidP="00BD1714">
      <w:pPr>
        <w:ind w:left="105"/>
        <w:jc w:val="both"/>
      </w:pPr>
      <w:r>
        <w:t xml:space="preserve">   </w:t>
      </w:r>
      <w:r w:rsidR="009A7B7E">
        <w:t xml:space="preserve">doprovod </w:t>
      </w:r>
    </w:p>
    <w:p w14:paraId="5A6083EA" w14:textId="17C749D7" w:rsidR="009A7B7E" w:rsidRDefault="009A7B7E" w:rsidP="00BD1714">
      <w:pPr>
        <w:ind w:left="105"/>
        <w:jc w:val="both"/>
      </w:pPr>
      <w:r>
        <w:sym w:font="Symbol" w:char="F0B7"/>
      </w:r>
      <w:r>
        <w:t xml:space="preserve"> v případě komplikací či složitějších zákroků počítejte s možnou hospitalizací </w:t>
      </w:r>
    </w:p>
    <w:p w14:paraId="5368826A" w14:textId="6B5FF705" w:rsidR="00BD1714" w:rsidRDefault="00BD1714" w:rsidP="00BD1714">
      <w:pPr>
        <w:ind w:left="105"/>
        <w:jc w:val="both"/>
      </w:pPr>
    </w:p>
    <w:p w14:paraId="5B9464D7" w14:textId="7CDD5CC3" w:rsidR="00BD1714" w:rsidRPr="00BD1714" w:rsidRDefault="00BD1714" w:rsidP="00BD1714">
      <w:pPr>
        <w:ind w:left="105"/>
        <w:jc w:val="both"/>
        <w:rPr>
          <w:b/>
          <w:bCs/>
          <w:i/>
          <w:iCs/>
          <w:color w:val="1F4E79" w:themeColor="accent5" w:themeShade="80"/>
          <w:sz w:val="22"/>
          <w:szCs w:val="22"/>
        </w:rPr>
      </w:pPr>
      <w:proofErr w:type="spellStart"/>
      <w:r w:rsidRPr="00BD1714">
        <w:rPr>
          <w:b/>
          <w:bCs/>
          <w:i/>
          <w:iCs/>
          <w:color w:val="1F4E79" w:themeColor="accent5" w:themeShade="80"/>
          <w:sz w:val="22"/>
          <w:szCs w:val="22"/>
        </w:rPr>
        <w:t>Dümed</w:t>
      </w:r>
      <w:proofErr w:type="spellEnd"/>
      <w:r w:rsidRPr="00BD1714">
        <w:rPr>
          <w:b/>
          <w:bCs/>
          <w:i/>
          <w:iCs/>
          <w:color w:val="1F4E79" w:themeColor="accent5" w:themeShade="80"/>
          <w:sz w:val="22"/>
          <w:szCs w:val="22"/>
        </w:rPr>
        <w:t xml:space="preserve"> s.r.o.</w:t>
      </w:r>
    </w:p>
    <w:p w14:paraId="533CA172" w14:textId="7D6B5866" w:rsidR="00BD1714" w:rsidRPr="00BD1714" w:rsidRDefault="00BD1714" w:rsidP="00BD1714">
      <w:pPr>
        <w:ind w:left="105"/>
        <w:jc w:val="both"/>
        <w:rPr>
          <w:i/>
          <w:iCs/>
          <w:color w:val="1F4E79" w:themeColor="accent5" w:themeShade="80"/>
          <w:sz w:val="22"/>
          <w:szCs w:val="22"/>
        </w:rPr>
      </w:pPr>
      <w:r w:rsidRPr="00BD1714">
        <w:rPr>
          <w:i/>
          <w:iCs/>
          <w:color w:val="1F4E79" w:themeColor="accent5" w:themeShade="80"/>
          <w:sz w:val="22"/>
          <w:szCs w:val="22"/>
        </w:rPr>
        <w:t>Dukovany 269</w:t>
      </w:r>
    </w:p>
    <w:p w14:paraId="3FD205D8" w14:textId="204FD151" w:rsidR="00BD1714" w:rsidRPr="00BD1714" w:rsidRDefault="00BD1714" w:rsidP="00BD1714">
      <w:pPr>
        <w:ind w:left="105"/>
        <w:jc w:val="both"/>
        <w:rPr>
          <w:i/>
          <w:iCs/>
          <w:color w:val="1F4E79" w:themeColor="accent5" w:themeShade="80"/>
          <w:sz w:val="22"/>
          <w:szCs w:val="22"/>
        </w:rPr>
      </w:pPr>
      <w:r w:rsidRPr="00BD1714">
        <w:rPr>
          <w:i/>
          <w:iCs/>
          <w:color w:val="1F4E79" w:themeColor="accent5" w:themeShade="80"/>
          <w:sz w:val="22"/>
          <w:szCs w:val="22"/>
        </w:rPr>
        <w:t>566 466</w:t>
      </w:r>
      <w:r>
        <w:rPr>
          <w:i/>
          <w:iCs/>
          <w:color w:val="1F4E79" w:themeColor="accent5" w:themeShade="80"/>
          <w:sz w:val="22"/>
          <w:szCs w:val="22"/>
        </w:rPr>
        <w:t> </w:t>
      </w:r>
      <w:r w:rsidRPr="00BD1714">
        <w:rPr>
          <w:i/>
          <w:iCs/>
          <w:color w:val="1F4E79" w:themeColor="accent5" w:themeShade="80"/>
          <w:sz w:val="22"/>
          <w:szCs w:val="22"/>
        </w:rPr>
        <w:t>731</w:t>
      </w:r>
      <w:r>
        <w:rPr>
          <w:i/>
          <w:iCs/>
          <w:color w:val="1F4E79" w:themeColor="accent5" w:themeShade="80"/>
          <w:sz w:val="22"/>
          <w:szCs w:val="22"/>
        </w:rPr>
        <w:t xml:space="preserve">, </w:t>
      </w:r>
      <w:r w:rsidRPr="00BD1714">
        <w:rPr>
          <w:color w:val="1F4E79" w:themeColor="accent5" w:themeShade="80"/>
          <w:sz w:val="22"/>
          <w:szCs w:val="22"/>
        </w:rPr>
        <w:t>ordinace@dumed.cz</w:t>
      </w:r>
    </w:p>
    <w:sectPr w:rsidR="00BD1714" w:rsidRPr="00BD1714" w:rsidSect="00C04E6E">
      <w:footerReference w:type="default" r:id="rId8"/>
      <w:pgSz w:w="11906" w:h="16838"/>
      <w:pgMar w:top="1701" w:right="1418" w:bottom="1418" w:left="1418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70874" w14:textId="77777777" w:rsidR="003352FC" w:rsidRDefault="003352FC" w:rsidP="00E9735E">
      <w:r>
        <w:separator/>
      </w:r>
    </w:p>
  </w:endnote>
  <w:endnote w:type="continuationSeparator" w:id="0">
    <w:p w14:paraId="3F12D0CB" w14:textId="77777777" w:rsidR="003352FC" w:rsidRDefault="003352FC" w:rsidP="00E9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0B910" w14:textId="499D2BAB" w:rsidR="004B2001" w:rsidRDefault="004B2001" w:rsidP="004B2001">
    <w:pPr>
      <w:pStyle w:val="Zpat"/>
      <w:tabs>
        <w:tab w:val="clear" w:pos="4536"/>
        <w:tab w:val="clear" w:pos="9072"/>
        <w:tab w:val="left" w:pos="16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42B21" w14:textId="77777777" w:rsidR="003352FC" w:rsidRDefault="003352FC" w:rsidP="00E9735E">
      <w:r>
        <w:separator/>
      </w:r>
    </w:p>
  </w:footnote>
  <w:footnote w:type="continuationSeparator" w:id="0">
    <w:p w14:paraId="3F6C0A34" w14:textId="77777777" w:rsidR="003352FC" w:rsidRDefault="003352FC" w:rsidP="00E97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07842"/>
    <w:multiLevelType w:val="hybridMultilevel"/>
    <w:tmpl w:val="CA7A5F1E"/>
    <w:lvl w:ilvl="0" w:tplc="223E02DA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5C3C3BE0"/>
    <w:multiLevelType w:val="hybridMultilevel"/>
    <w:tmpl w:val="53567746"/>
    <w:lvl w:ilvl="0" w:tplc="94A4CA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456025">
    <w:abstractNumId w:val="1"/>
  </w:num>
  <w:num w:numId="2" w16cid:durableId="19451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72"/>
    <w:rsid w:val="003352FC"/>
    <w:rsid w:val="003B2054"/>
    <w:rsid w:val="003B5D29"/>
    <w:rsid w:val="003D1872"/>
    <w:rsid w:val="004B2001"/>
    <w:rsid w:val="00702674"/>
    <w:rsid w:val="007C64D9"/>
    <w:rsid w:val="007E4D8F"/>
    <w:rsid w:val="008648CE"/>
    <w:rsid w:val="008670C4"/>
    <w:rsid w:val="009A7B7E"/>
    <w:rsid w:val="009E79F4"/>
    <w:rsid w:val="00BC311A"/>
    <w:rsid w:val="00BD1714"/>
    <w:rsid w:val="00C04E6E"/>
    <w:rsid w:val="00E9735E"/>
    <w:rsid w:val="00EB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7EFF0"/>
  <w15:chartTrackingRefBased/>
  <w15:docId w15:val="{F6D78AF7-7B1F-A148-86EB-995BEC52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73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735E"/>
  </w:style>
  <w:style w:type="paragraph" w:styleId="Zpat">
    <w:name w:val="footer"/>
    <w:basedOn w:val="Normln"/>
    <w:link w:val="ZpatChar"/>
    <w:uiPriority w:val="99"/>
    <w:unhideWhenUsed/>
    <w:rsid w:val="00E973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735E"/>
  </w:style>
  <w:style w:type="character" w:styleId="Hypertextovodkaz">
    <w:name w:val="Hyperlink"/>
    <w:basedOn w:val="Standardnpsmoodstavce"/>
    <w:uiPriority w:val="99"/>
    <w:semiHidden/>
    <w:unhideWhenUsed/>
    <w:rsid w:val="003D1872"/>
    <w:rPr>
      <w:color w:val="0000FF"/>
      <w:u w:val="single"/>
    </w:rPr>
  </w:style>
  <w:style w:type="character" w:customStyle="1" w:styleId="more-gallery">
    <w:name w:val="more-gallery"/>
    <w:basedOn w:val="Standardnpsmoodstavce"/>
    <w:rsid w:val="003D1872"/>
  </w:style>
  <w:style w:type="paragraph" w:customStyle="1" w:styleId="opener-foto-info">
    <w:name w:val="opener-foto-info"/>
    <w:basedOn w:val="Normln"/>
    <w:rsid w:val="003D18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autor">
    <w:name w:val="autor"/>
    <w:basedOn w:val="Standardnpsmoodstavce"/>
    <w:rsid w:val="003D1872"/>
  </w:style>
  <w:style w:type="paragraph" w:styleId="Normlnweb">
    <w:name w:val="Normal (Web)"/>
    <w:basedOn w:val="Normln"/>
    <w:uiPriority w:val="99"/>
    <w:semiHidden/>
    <w:unhideWhenUsed/>
    <w:rsid w:val="003D18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4B2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6775">
          <w:marLeft w:val="1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8063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2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477603">
          <w:marLeft w:val="1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5754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5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90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5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462C72-E8C1-464C-901E-F593A032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342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Homola</dc:creator>
  <cp:keywords/>
  <dc:description/>
  <cp:lastModifiedBy>lekar</cp:lastModifiedBy>
  <cp:revision>6</cp:revision>
  <dcterms:created xsi:type="dcterms:W3CDTF">2022-05-26T11:56:00Z</dcterms:created>
  <dcterms:modified xsi:type="dcterms:W3CDTF">2022-11-23T09:04:00Z</dcterms:modified>
</cp:coreProperties>
</file>